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实验动物模型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及相关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信息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表</w:t>
      </w:r>
    </w:p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简表</w:t>
      </w:r>
    </w:p>
    <w:p>
      <w:pPr>
        <w:spacing w:before="120"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实验动物模型信息采集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简表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75"/>
        <w:gridCol w:w="842"/>
        <w:gridCol w:w="842"/>
        <w:gridCol w:w="1511"/>
        <w:gridCol w:w="1296"/>
        <w:gridCol w:w="126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/>
        </w:tc>
        <w:tc>
          <w:tcPr>
            <w:tcW w:w="875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842" w:type="dxa"/>
          </w:tcPr>
          <w:p>
            <w:r>
              <w:rPr>
                <w:rFonts w:hint="eastAsia"/>
              </w:rPr>
              <w:t>类型及分级</w:t>
            </w:r>
          </w:p>
        </w:tc>
        <w:tc>
          <w:tcPr>
            <w:tcW w:w="842" w:type="dxa"/>
          </w:tcPr>
          <w:p>
            <w:r>
              <w:rPr>
                <w:rFonts w:hint="eastAsia"/>
              </w:rPr>
              <w:t>用途</w:t>
            </w:r>
          </w:p>
        </w:tc>
        <w:tc>
          <w:tcPr>
            <w:tcW w:w="1511" w:type="dxa"/>
          </w:tcPr>
          <w:p>
            <w:r>
              <w:rPr>
                <w:rFonts w:hint="eastAsia"/>
                <w:lang w:val="en-US" w:eastAsia="zh-CN"/>
              </w:rPr>
              <w:t>推荐人及单位</w:t>
            </w:r>
          </w:p>
        </w:tc>
        <w:tc>
          <w:tcPr>
            <w:tcW w:w="1296" w:type="dxa"/>
          </w:tcPr>
          <w:p>
            <w:r>
              <w:rPr>
                <w:rFonts w:hint="eastAsia"/>
              </w:rPr>
              <w:t>联系人和地址</w:t>
            </w:r>
          </w:p>
        </w:tc>
        <w:tc>
          <w:tcPr>
            <w:tcW w:w="126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模型研发（保存）单位</w:t>
            </w:r>
          </w:p>
        </w:tc>
        <w:tc>
          <w:tcPr>
            <w:tcW w:w="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5" w:type="dxa"/>
          </w:tcPr>
          <w:p>
            <w:r>
              <w:rPr>
                <w:rFonts w:hint="eastAsia"/>
              </w:rPr>
              <w:t>中文：</w:t>
            </w:r>
          </w:p>
          <w:p>
            <w:r>
              <w:rPr>
                <w:rFonts w:hint="eastAsia"/>
              </w:rPr>
              <w:t>英文：</w:t>
            </w:r>
          </w:p>
        </w:tc>
        <w:tc>
          <w:tcPr>
            <w:tcW w:w="842" w:type="dxa"/>
          </w:tcPr>
          <w:p/>
        </w:tc>
        <w:tc>
          <w:tcPr>
            <w:tcW w:w="842" w:type="dxa"/>
          </w:tcPr>
          <w:p/>
        </w:tc>
        <w:tc>
          <w:tcPr>
            <w:tcW w:w="1511" w:type="dxa"/>
          </w:tcPr>
          <w:p/>
        </w:tc>
        <w:tc>
          <w:tcPr>
            <w:tcW w:w="1296" w:type="dxa"/>
          </w:tcPr>
          <w:p/>
        </w:tc>
        <w:tc>
          <w:tcPr>
            <w:tcW w:w="1260" w:type="dxa"/>
          </w:tcPr>
          <w:p/>
        </w:tc>
        <w:tc>
          <w:tcPr>
            <w:tcW w:w="9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5" w:type="dxa"/>
          </w:tcPr>
          <w:p/>
        </w:tc>
        <w:tc>
          <w:tcPr>
            <w:tcW w:w="842" w:type="dxa"/>
          </w:tcPr>
          <w:p/>
        </w:tc>
        <w:tc>
          <w:tcPr>
            <w:tcW w:w="842" w:type="dxa"/>
          </w:tcPr>
          <w:p/>
        </w:tc>
        <w:tc>
          <w:tcPr>
            <w:tcW w:w="1511" w:type="dxa"/>
          </w:tcPr>
          <w:p/>
        </w:tc>
        <w:tc>
          <w:tcPr>
            <w:tcW w:w="1296" w:type="dxa"/>
          </w:tcPr>
          <w:p/>
        </w:tc>
        <w:tc>
          <w:tcPr>
            <w:tcW w:w="1260" w:type="dxa"/>
          </w:tcPr>
          <w:p/>
        </w:tc>
        <w:tc>
          <w:tcPr>
            <w:tcW w:w="9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5" w:type="dxa"/>
          </w:tcPr>
          <w:p/>
        </w:tc>
        <w:tc>
          <w:tcPr>
            <w:tcW w:w="842" w:type="dxa"/>
          </w:tcPr>
          <w:p/>
        </w:tc>
        <w:tc>
          <w:tcPr>
            <w:tcW w:w="842" w:type="dxa"/>
          </w:tcPr>
          <w:p/>
        </w:tc>
        <w:tc>
          <w:tcPr>
            <w:tcW w:w="1511" w:type="dxa"/>
          </w:tcPr>
          <w:p/>
        </w:tc>
        <w:tc>
          <w:tcPr>
            <w:tcW w:w="1296" w:type="dxa"/>
          </w:tcPr>
          <w:p/>
        </w:tc>
        <w:tc>
          <w:tcPr>
            <w:tcW w:w="1260" w:type="dxa"/>
          </w:tcPr>
          <w:p/>
        </w:tc>
        <w:tc>
          <w:tcPr>
            <w:tcW w:w="9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r>
              <w:rPr>
                <w:rFonts w:hint="eastAsia"/>
              </w:rPr>
              <w:t>-</w:t>
            </w:r>
            <w:r>
              <w:t>---</w:t>
            </w:r>
          </w:p>
        </w:tc>
        <w:tc>
          <w:tcPr>
            <w:tcW w:w="875" w:type="dxa"/>
          </w:tcPr>
          <w:p/>
        </w:tc>
        <w:tc>
          <w:tcPr>
            <w:tcW w:w="842" w:type="dxa"/>
          </w:tcPr>
          <w:p/>
        </w:tc>
        <w:tc>
          <w:tcPr>
            <w:tcW w:w="842" w:type="dxa"/>
          </w:tcPr>
          <w:p/>
        </w:tc>
        <w:tc>
          <w:tcPr>
            <w:tcW w:w="1511" w:type="dxa"/>
          </w:tcPr>
          <w:p/>
        </w:tc>
        <w:tc>
          <w:tcPr>
            <w:tcW w:w="1296" w:type="dxa"/>
          </w:tcPr>
          <w:p/>
        </w:tc>
        <w:tc>
          <w:tcPr>
            <w:tcW w:w="1260" w:type="dxa"/>
          </w:tcPr>
          <w:p/>
        </w:tc>
        <w:tc>
          <w:tcPr>
            <w:tcW w:w="936" w:type="dxa"/>
          </w:tcPr>
          <w:p/>
        </w:tc>
      </w:tr>
    </w:tbl>
    <w:p>
      <w:pPr>
        <w:widowControl/>
        <w:numPr>
          <w:numId w:val="0"/>
        </w:numPr>
        <w:jc w:val="left"/>
        <w:rPr>
          <w:rFonts w:hint="default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主要材料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0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命名</w:t>
      </w:r>
      <w:r>
        <w:rPr>
          <w:sz w:val="24"/>
          <w:szCs w:val="24"/>
        </w:rPr>
        <w:t>。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参考国际实验动物命名通用原则，结合动物模型类型的</w:t>
      </w:r>
      <w:r>
        <w:rPr>
          <w:rFonts w:asciiTheme="minorEastAsia" w:hAnsiTheme="minorEastAsia"/>
          <w:sz w:val="24"/>
          <w:szCs w:val="24"/>
        </w:rPr>
        <w:t>I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II</w:t>
      </w:r>
      <w:r>
        <w:rPr>
          <w:rFonts w:hint="eastAsia"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III</w:t>
      </w:r>
      <w:r>
        <w:rPr>
          <w:rFonts w:hint="eastAsia" w:asciiTheme="minorEastAsia" w:hAnsiTheme="minorEastAsia"/>
          <w:sz w:val="24"/>
          <w:szCs w:val="24"/>
        </w:rPr>
        <w:t>级分类法进行联合命名，即“疾病+动物品种+造模方法”进行命名，命名时应尽量细化。中医药动物模型应体现中医药特点。需用中英两种文字命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见附件1）</w:t>
      </w:r>
      <w:r>
        <w:rPr>
          <w:rFonts w:hint="eastAsia"/>
          <w:sz w:val="24"/>
          <w:szCs w:val="24"/>
        </w:rPr>
        <w:t>。</w:t>
      </w:r>
    </w:p>
    <w:p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制备</w:t>
      </w:r>
      <w:r>
        <w:rPr>
          <w:rFonts w:hint="eastAsia"/>
          <w:b/>
          <w:bCs/>
          <w:sz w:val="24"/>
          <w:szCs w:val="24"/>
        </w:rPr>
        <w:t>方法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包括实验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实验环境、实验操作规程</w:t>
      </w:r>
      <w:r>
        <w:rPr>
          <w:rFonts w:hint="eastAsia"/>
          <w:sz w:val="24"/>
          <w:szCs w:val="24"/>
        </w:rPr>
        <w:t>等内容。</w:t>
      </w:r>
      <w:r>
        <w:rPr>
          <w:rFonts w:hint="eastAsia" w:ascii="宋体" w:hAnsi="宋体" w:eastAsia="宋体" w:cs="宋体"/>
          <w:sz w:val="24"/>
          <w:szCs w:val="24"/>
          <w:lang w:bidi="ar"/>
        </w:rPr>
        <w:t>对涉及的实验动物、实验试剂、检测仪器应标明详细信息，并符合国家相关规定。</w:t>
      </w:r>
    </w:p>
    <w:p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动物模型</w:t>
      </w:r>
      <w:r>
        <w:rPr>
          <w:rFonts w:hint="eastAsia"/>
          <w:b/>
          <w:bCs/>
          <w:sz w:val="24"/>
          <w:szCs w:val="24"/>
        </w:rPr>
        <w:t>的</w:t>
      </w:r>
      <w:r>
        <w:rPr>
          <w:b/>
          <w:bCs/>
          <w:sz w:val="24"/>
          <w:szCs w:val="24"/>
        </w:rPr>
        <w:t>评价</w:t>
      </w:r>
      <w:r>
        <w:rPr>
          <w:rFonts w:hint="eastAsia"/>
          <w:b/>
          <w:bCs/>
          <w:sz w:val="24"/>
          <w:szCs w:val="24"/>
        </w:rPr>
        <w:t>与验证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基于模型制备三原则（表观效度、预测效度以及结构效度）对模型指标进行评价，其中包括整体行为特征、组织器官、细胞和分子等在内的指标评价体系。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评价方法</w:t>
      </w:r>
      <w:r>
        <w:rPr>
          <w:sz w:val="24"/>
          <w:szCs w:val="24"/>
        </w:rPr>
        <w:t>包括以整体实验为主，涵盖行为、影像、生理生化和组织切片等技术</w:t>
      </w:r>
      <w:r>
        <w:rPr>
          <w:rFonts w:hint="eastAsia"/>
          <w:sz w:val="24"/>
          <w:szCs w:val="24"/>
        </w:rPr>
        <w:t>方法进行详细介绍。采用的</w:t>
      </w:r>
      <w:r>
        <w:rPr>
          <w:sz w:val="24"/>
          <w:szCs w:val="24"/>
        </w:rPr>
        <w:t>仪器设备、试剂应满足模型评价的要求，指标完善，条件稳定。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bidi="ar"/>
        </w:rPr>
        <w:t>评价指标包括</w:t>
      </w:r>
      <w:r>
        <w:rPr>
          <w:rFonts w:hint="eastAsia" w:ascii="宋体" w:hAnsi="宋体" w:eastAsia="宋体" w:cs="宋体"/>
          <w:sz w:val="24"/>
          <w:szCs w:val="24"/>
          <w:lang w:bidi="ar"/>
        </w:rPr>
        <w:t>核心指标</w:t>
      </w:r>
      <w:r>
        <w:rPr>
          <w:rFonts w:ascii="宋体" w:hAnsi="宋体" w:eastAsia="宋体" w:cs="宋体"/>
          <w:sz w:val="24"/>
          <w:szCs w:val="24"/>
          <w:lang w:bidi="ar"/>
        </w:rPr>
        <w:t>（如特异的基因改变、特异的染毒</w:t>
      </w:r>
      <w:r>
        <w:rPr>
          <w:rFonts w:hint="eastAsia" w:ascii="宋体" w:hAnsi="宋体" w:eastAsia="宋体" w:cs="宋体"/>
          <w:sz w:val="24"/>
          <w:szCs w:val="24"/>
          <w:lang w:bidi="ar"/>
        </w:rPr>
        <w:t>病原</w:t>
      </w:r>
      <w:r>
        <w:rPr>
          <w:rFonts w:ascii="宋体" w:hAnsi="宋体" w:eastAsia="宋体" w:cs="宋体"/>
          <w:sz w:val="24"/>
          <w:szCs w:val="24"/>
          <w:lang w:bidi="ar"/>
        </w:rPr>
        <w:t>株</w:t>
      </w:r>
      <w:r>
        <w:rPr>
          <w:rFonts w:hint="eastAsia" w:ascii="宋体" w:hAnsi="宋体" w:eastAsia="宋体" w:cs="宋体"/>
          <w:sz w:val="24"/>
          <w:szCs w:val="24"/>
          <w:lang w:bidi="ar"/>
        </w:rPr>
        <w:t>或高载量病毒核酸</w:t>
      </w:r>
      <w:r>
        <w:rPr>
          <w:rFonts w:ascii="宋体" w:hAnsi="宋体" w:eastAsia="宋体" w:cs="宋体"/>
          <w:sz w:val="24"/>
          <w:szCs w:val="24"/>
          <w:lang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bidi="ar"/>
        </w:rPr>
        <w:t>特异性免疫抗体</w:t>
      </w:r>
      <w:r>
        <w:rPr>
          <w:rFonts w:ascii="宋体" w:hAnsi="宋体" w:eastAsia="宋体" w:cs="宋体"/>
          <w:sz w:val="24"/>
          <w:szCs w:val="24"/>
          <w:lang w:bidi="ar"/>
        </w:rPr>
        <w:t>）；</w:t>
      </w:r>
      <w:r>
        <w:rPr>
          <w:rFonts w:hint="eastAsia" w:ascii="宋体" w:hAnsi="宋体" w:eastAsia="宋体" w:cs="宋体"/>
          <w:sz w:val="24"/>
          <w:szCs w:val="24"/>
          <w:lang w:bidi="ar"/>
        </w:rPr>
        <w:t>主要指标</w:t>
      </w:r>
      <w:r>
        <w:rPr>
          <w:rFonts w:ascii="宋体" w:hAnsi="宋体" w:eastAsia="宋体" w:cs="宋体"/>
          <w:sz w:val="24"/>
          <w:szCs w:val="24"/>
          <w:lang w:bidi="ar"/>
        </w:rPr>
        <w:t>（</w:t>
      </w:r>
      <w:r>
        <w:rPr>
          <w:rFonts w:hint="eastAsia" w:ascii="宋体" w:hAnsi="宋体" w:eastAsia="宋体" w:cs="宋体"/>
          <w:sz w:val="24"/>
          <w:szCs w:val="24"/>
          <w:lang w:bidi="ar"/>
        </w:rPr>
        <w:t>模拟人类疾病临床症状和体征</w:t>
      </w:r>
      <w:r>
        <w:rPr>
          <w:rFonts w:ascii="宋体" w:hAnsi="宋体" w:eastAsia="宋体" w:cs="宋体"/>
          <w:sz w:val="24"/>
          <w:szCs w:val="24"/>
          <w:lang w:bidi="ar"/>
        </w:rPr>
        <w:t>、</w:t>
      </w:r>
      <w:r>
        <w:rPr>
          <w:rFonts w:hint="eastAsia" w:ascii="宋体" w:hAnsi="宋体" w:eastAsia="宋体" w:cs="宋体"/>
          <w:sz w:val="24"/>
          <w:szCs w:val="24"/>
          <w:lang w:bidi="ar"/>
        </w:rPr>
        <w:t>易感器官的特征性改变</w:t>
      </w:r>
      <w:r>
        <w:rPr>
          <w:rFonts w:ascii="宋体" w:hAnsi="宋体" w:eastAsia="宋体" w:cs="宋体"/>
          <w:sz w:val="24"/>
          <w:szCs w:val="24"/>
          <w:lang w:bidi="ar"/>
        </w:rPr>
        <w:t>和特异性生物标志物）；</w:t>
      </w:r>
      <w:r>
        <w:rPr>
          <w:rFonts w:hint="eastAsia" w:ascii="宋体" w:hAnsi="宋体" w:eastAsia="宋体" w:cs="宋体"/>
          <w:sz w:val="24"/>
          <w:szCs w:val="24"/>
          <w:lang w:bidi="ar"/>
        </w:rPr>
        <w:t>重要指标</w:t>
      </w:r>
      <w:r>
        <w:rPr>
          <w:rFonts w:ascii="宋体" w:hAnsi="宋体" w:eastAsia="宋体" w:cs="宋体"/>
          <w:sz w:val="24"/>
          <w:szCs w:val="24"/>
          <w:lang w:bidi="ar"/>
        </w:rPr>
        <w:t>（模拟疾病某些方面的改变的指标）和辅助指标。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应包括阳性药物对其指标的证实效应。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应说明重复验证的批数。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中医药</w:t>
      </w:r>
      <w:r>
        <w:rPr>
          <w:rFonts w:ascii="宋体" w:hAnsi="宋体" w:eastAsia="宋体" w:cs="宋体"/>
          <w:sz w:val="24"/>
          <w:szCs w:val="24"/>
          <w:lang w:bidi="ar"/>
        </w:rPr>
        <w:t>模型应有体现中医药特点</w:t>
      </w:r>
      <w:r>
        <w:rPr>
          <w:rFonts w:hint="eastAsia" w:ascii="宋体" w:hAnsi="宋体" w:eastAsia="宋体" w:cs="宋体"/>
          <w:sz w:val="24"/>
          <w:szCs w:val="24"/>
          <w:lang w:bidi="ar"/>
        </w:rPr>
        <w:t>的评价指标。</w:t>
      </w:r>
    </w:p>
    <w:p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b/>
          <w:bCs/>
          <w:sz w:val="24"/>
          <w:szCs w:val="24"/>
        </w:rPr>
        <w:t>、动物模型的</w:t>
      </w:r>
      <w:r>
        <w:rPr>
          <w:rFonts w:hint="eastAsia"/>
          <w:b/>
          <w:bCs/>
          <w:sz w:val="24"/>
          <w:szCs w:val="24"/>
        </w:rPr>
        <w:t>生物</w:t>
      </w:r>
      <w:r>
        <w:rPr>
          <w:b/>
          <w:bCs/>
          <w:sz w:val="24"/>
          <w:szCs w:val="24"/>
        </w:rPr>
        <w:t>安全性。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="Calibri" w:hAnsi="Calibri" w:eastAsia="宋体" w:cs="宋体"/>
          <w:sz w:val="24"/>
          <w:szCs w:val="24"/>
          <w:lang w:bidi="ar"/>
        </w:rPr>
        <w:t>动物模型的制备和应用实验必须在具备相应资质的实验室开展。动物模型</w:t>
      </w:r>
      <w:r>
        <w:rPr>
          <w:rFonts w:ascii="Calibri" w:hAnsi="Calibri" w:eastAsia="宋体" w:cs="宋体"/>
          <w:sz w:val="24"/>
          <w:szCs w:val="24"/>
          <w:lang w:bidi="ar"/>
        </w:rPr>
        <w:t>的</w:t>
      </w:r>
      <w:r>
        <w:rPr>
          <w:rFonts w:hint="eastAsia" w:ascii="Calibri" w:hAnsi="Calibri" w:eastAsia="宋体" w:cs="宋体"/>
          <w:sz w:val="24"/>
          <w:szCs w:val="24"/>
          <w:lang w:bidi="ar"/>
        </w:rPr>
        <w:t>制备、应用过程中的监督管理、处置措施</w:t>
      </w:r>
      <w:r>
        <w:rPr>
          <w:sz w:val="24"/>
          <w:szCs w:val="24"/>
        </w:rPr>
        <w:t>、对环境和生态影响</w:t>
      </w:r>
      <w:r>
        <w:rPr>
          <w:rFonts w:hint="eastAsia" w:ascii="Calibri" w:hAnsi="Calibri" w:eastAsia="宋体" w:cs="宋体"/>
          <w:sz w:val="24"/>
          <w:szCs w:val="24"/>
          <w:lang w:bidi="ar"/>
        </w:rPr>
        <w:t>等应符合国家相关法律规定</w:t>
      </w:r>
      <w:r>
        <w:rPr>
          <w:sz w:val="24"/>
          <w:szCs w:val="24"/>
        </w:rPr>
        <w:t>。</w:t>
      </w:r>
    </w:p>
    <w:p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b/>
          <w:bCs/>
          <w:sz w:val="24"/>
          <w:szCs w:val="24"/>
        </w:rPr>
        <w:t>、讨论和结论</w:t>
      </w:r>
    </w:p>
    <w:p>
      <w:pPr>
        <w:widowControl/>
        <w:spacing w:line="30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总结该模型鉴定和评价的技术方法和指标体系；分析该模型与国内外现有模型的异同；讨论该</w:t>
      </w:r>
      <w:r>
        <w:rPr>
          <w:sz w:val="24"/>
          <w:szCs w:val="24"/>
        </w:rPr>
        <w:t>模型</w:t>
      </w:r>
      <w:r>
        <w:rPr>
          <w:rFonts w:hint="eastAsia"/>
          <w:sz w:val="24"/>
          <w:szCs w:val="24"/>
        </w:rPr>
        <w:t>的技术难点、创新性和应用价值。</w:t>
      </w:r>
    </w:p>
    <w:p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b/>
          <w:bCs/>
          <w:sz w:val="24"/>
          <w:szCs w:val="24"/>
        </w:rPr>
        <w:t>、有助于动物模型鉴定和评价的其它材料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其它有助于评价的材料，包括</w:t>
      </w:r>
      <w:r>
        <w:rPr>
          <w:sz w:val="24"/>
          <w:szCs w:val="24"/>
        </w:rPr>
        <w:t>第三方应用机构的证明、在行业一流学术刊物上发表学术论文和引用情况等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。</w:t>
      </w:r>
    </w:p>
    <w:p>
      <w:pPr>
        <w:widowControl/>
        <w:jc w:val="left"/>
        <w:rPr>
          <w:sz w:val="24"/>
          <w:szCs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承诺函</w:t>
      </w:r>
    </w:p>
    <w:p>
      <w:pPr>
        <w:widowControl/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本人保证提交的上述材料真实客观，全部数据来源符合我国的法律法规。</w:t>
      </w:r>
    </w:p>
    <w:p>
      <w:pPr>
        <w:widowControl/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承诺人（签字）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widowControl/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单位（公章）</w:t>
      </w:r>
    </w:p>
    <w:p>
      <w:pPr>
        <w:widowControl/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A656"/>
    <w:multiLevelType w:val="singleLevel"/>
    <w:tmpl w:val="1101A6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7C"/>
    <w:rsid w:val="00082B7C"/>
    <w:rsid w:val="001C5824"/>
    <w:rsid w:val="40435C00"/>
    <w:rsid w:val="476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2020-03-30T11:16:00Z</dcterms:created>
  <dc:creator>Liu xinmin</dc:creator>
  <cp:lastModifiedBy>liuxinminuae</cp:lastModifiedBy>
  <dcterms:modified xsi:type="dcterms:W3CDTF">2021-07-30T13:43:20Z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